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FA" w:rsidRPr="00C2731E" w:rsidRDefault="003C56FA" w:rsidP="00A04C8F">
      <w:pPr>
        <w:widowControl/>
        <w:shd w:val="clear" w:color="auto" w:fill="FFFFFF"/>
        <w:adjustRightInd w:val="0"/>
        <w:spacing w:line="360" w:lineRule="auto"/>
        <w:ind w:rightChars="21" w:right="44"/>
        <w:jc w:val="center"/>
        <w:rPr>
          <w:rFonts w:ascii="黑体" w:eastAsia="黑体" w:hAnsi="黑体" w:cs="Tahoma"/>
          <w:b/>
          <w:bCs/>
          <w:kern w:val="0"/>
          <w:sz w:val="32"/>
          <w:szCs w:val="24"/>
        </w:rPr>
      </w:pPr>
      <w:r w:rsidRPr="00C2731E">
        <w:rPr>
          <w:rFonts w:ascii="黑体" w:eastAsia="黑体" w:hAnsi="黑体" w:cs="Tahoma" w:hint="eastAsia"/>
          <w:b/>
          <w:bCs/>
          <w:kern w:val="0"/>
          <w:sz w:val="32"/>
          <w:szCs w:val="24"/>
        </w:rPr>
        <w:t>北京憨福儿公益</w:t>
      </w:r>
      <w:r w:rsidRPr="00C2731E">
        <w:rPr>
          <w:rFonts w:ascii="黑体" w:eastAsia="黑体" w:hAnsi="黑体" w:cs="Tahoma"/>
          <w:b/>
          <w:bCs/>
          <w:kern w:val="0"/>
          <w:sz w:val="32"/>
          <w:szCs w:val="24"/>
        </w:rPr>
        <w:t>基金会资产管理制度</w:t>
      </w:r>
    </w:p>
    <w:p w:rsidR="003C56FA" w:rsidRPr="00C2731E" w:rsidRDefault="003C56FA" w:rsidP="00A04C8F">
      <w:pPr>
        <w:widowControl/>
        <w:shd w:val="clear" w:color="auto" w:fill="FFFFFF"/>
        <w:adjustRightInd w:val="0"/>
        <w:spacing w:line="360" w:lineRule="auto"/>
        <w:ind w:rightChars="21" w:right="44"/>
        <w:jc w:val="center"/>
        <w:rPr>
          <w:rFonts w:asciiTheme="minorEastAsia" w:hAnsiTheme="minorEastAsia" w:cs="Tahoma"/>
          <w:kern w:val="0"/>
          <w:sz w:val="28"/>
          <w:szCs w:val="24"/>
        </w:rPr>
      </w:pPr>
      <w:r w:rsidRPr="00C2731E">
        <w:rPr>
          <w:rFonts w:asciiTheme="minorEastAsia" w:hAnsiTheme="minorEastAsia" w:cs="Tahoma"/>
          <w:b/>
          <w:bCs/>
          <w:kern w:val="0"/>
          <w:sz w:val="28"/>
          <w:szCs w:val="24"/>
        </w:rPr>
        <w:t>第一章</w:t>
      </w:r>
      <w:r w:rsidR="00D122EB" w:rsidRPr="00C2731E">
        <w:rPr>
          <w:rFonts w:asciiTheme="minorEastAsia" w:hAnsiTheme="minorEastAsia" w:cs="Tahoma" w:hint="eastAsia"/>
          <w:b/>
          <w:bCs/>
          <w:kern w:val="0"/>
          <w:sz w:val="28"/>
          <w:szCs w:val="24"/>
        </w:rPr>
        <w:t xml:space="preserve"> </w:t>
      </w:r>
      <w:r w:rsidRPr="00C2731E">
        <w:rPr>
          <w:rFonts w:asciiTheme="minorEastAsia" w:hAnsiTheme="minorEastAsia" w:cs="Tahoma"/>
          <w:b/>
          <w:bCs/>
          <w:kern w:val="0"/>
          <w:sz w:val="28"/>
          <w:szCs w:val="24"/>
        </w:rPr>
        <w:t>总则</w:t>
      </w:r>
    </w:p>
    <w:p w:rsidR="003C56FA" w:rsidRPr="00D122EB" w:rsidRDefault="00F963E3" w:rsidP="00A04C8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/>
          <w:kern w:val="0"/>
          <w:sz w:val="24"/>
          <w:szCs w:val="24"/>
        </w:rPr>
        <w:t>为</w:t>
      </w:r>
      <w:r w:rsidR="003C56FA" w:rsidRPr="00D122EB">
        <w:rPr>
          <w:rFonts w:asciiTheme="minorEastAsia" w:hAnsiTheme="minorEastAsia" w:cs="Tahoma"/>
          <w:kern w:val="0"/>
          <w:sz w:val="24"/>
          <w:szCs w:val="24"/>
        </w:rPr>
        <w:t>规范</w:t>
      </w:r>
      <w:r w:rsidR="00D122EB">
        <w:rPr>
          <w:rFonts w:asciiTheme="minorEastAsia" w:hAnsiTheme="minorEastAsia" w:cs="Tahoma" w:hint="eastAsia"/>
          <w:kern w:val="0"/>
          <w:sz w:val="24"/>
          <w:szCs w:val="24"/>
        </w:rPr>
        <w:t>北京憨福儿公益</w:t>
      </w:r>
      <w:r w:rsidR="00D122EB" w:rsidRPr="00D122EB">
        <w:rPr>
          <w:rFonts w:asciiTheme="minorEastAsia" w:hAnsiTheme="minorEastAsia" w:cs="Tahoma"/>
          <w:kern w:val="0"/>
          <w:sz w:val="24"/>
          <w:szCs w:val="24"/>
        </w:rPr>
        <w:t>基金会</w:t>
      </w:r>
      <w:r w:rsidR="00D122EB">
        <w:rPr>
          <w:rFonts w:asciiTheme="minorEastAsia" w:hAnsiTheme="minorEastAsia" w:cs="Tahoma" w:hint="eastAsia"/>
          <w:kern w:val="0"/>
          <w:sz w:val="24"/>
          <w:szCs w:val="24"/>
        </w:rPr>
        <w:t>（以下简称</w:t>
      </w:r>
      <w:r w:rsidR="000B644B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D122EB">
        <w:rPr>
          <w:rFonts w:asciiTheme="minorEastAsia" w:hAnsiTheme="minorEastAsia" w:cs="Tahoma" w:hint="eastAsia"/>
          <w:kern w:val="0"/>
          <w:sz w:val="24"/>
          <w:szCs w:val="24"/>
        </w:rPr>
        <w:t>）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固定资产和</w:t>
      </w:r>
      <w:r w:rsidR="003C56FA" w:rsidRPr="00D122EB">
        <w:rPr>
          <w:rFonts w:asciiTheme="minorEastAsia" w:hAnsiTheme="minorEastAsia" w:cs="Tahoma"/>
          <w:kern w:val="0"/>
          <w:sz w:val="24"/>
          <w:szCs w:val="24"/>
        </w:rPr>
        <w:t>投资资产管理，根据中华人民共和国</w:t>
      </w:r>
      <w:r w:rsidR="00D122EB" w:rsidRPr="00D122EB">
        <w:rPr>
          <w:rFonts w:asciiTheme="minorEastAsia" w:hAnsiTheme="minorEastAsia" w:cs="Tahoma"/>
          <w:kern w:val="0"/>
          <w:sz w:val="24"/>
          <w:szCs w:val="24"/>
        </w:rPr>
        <w:t>《基金会管理条例》</w:t>
      </w:r>
      <w:r w:rsidR="00D122EB">
        <w:rPr>
          <w:rFonts w:asciiTheme="minorEastAsia" w:hAnsiTheme="minorEastAsia" w:cs="Tahoma" w:hint="eastAsia"/>
          <w:kern w:val="0"/>
          <w:sz w:val="24"/>
          <w:szCs w:val="24"/>
        </w:rPr>
        <w:t>、</w:t>
      </w:r>
      <w:r w:rsidR="00D122EB">
        <w:rPr>
          <w:rFonts w:asciiTheme="minorEastAsia" w:hAnsiTheme="minorEastAsia" w:cs="Tahoma"/>
          <w:kern w:val="0"/>
          <w:sz w:val="24"/>
          <w:szCs w:val="24"/>
        </w:rPr>
        <w:t>《公益事业捐赠法》</w:t>
      </w:r>
      <w:r w:rsidR="003C56FA" w:rsidRPr="00D122EB">
        <w:rPr>
          <w:rFonts w:asciiTheme="minorEastAsia" w:hAnsiTheme="minorEastAsia" w:cs="Tahoma"/>
          <w:kern w:val="0"/>
          <w:sz w:val="24"/>
          <w:szCs w:val="24"/>
        </w:rPr>
        <w:t>和《民间非营利组织会计制度》等法律法规和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以</w:t>
      </w:r>
      <w:r w:rsidR="003C56FA" w:rsidRPr="00D122EB">
        <w:rPr>
          <w:rFonts w:asciiTheme="minorEastAsia" w:hAnsiTheme="minorEastAsia" w:cs="Tahoma"/>
          <w:kern w:val="0"/>
          <w:sz w:val="24"/>
          <w:szCs w:val="24"/>
        </w:rPr>
        <w:t>及</w:t>
      </w:r>
      <w:r w:rsidR="000B644B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C56FA" w:rsidRPr="00D122EB">
        <w:rPr>
          <w:rFonts w:asciiTheme="minorEastAsia" w:hAnsiTheme="minorEastAsia" w:cs="Tahoma"/>
          <w:kern w:val="0"/>
          <w:sz w:val="24"/>
          <w:szCs w:val="24"/>
        </w:rPr>
        <w:t>章程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，特</w:t>
      </w:r>
      <w:r w:rsidR="003C56FA" w:rsidRPr="00D122EB">
        <w:rPr>
          <w:rFonts w:asciiTheme="minorEastAsia" w:hAnsiTheme="minorEastAsia" w:cs="Tahoma"/>
          <w:kern w:val="0"/>
          <w:sz w:val="24"/>
          <w:szCs w:val="24"/>
        </w:rPr>
        <w:t>制定本制度。</w:t>
      </w:r>
    </w:p>
    <w:p w:rsidR="003C56FA" w:rsidRPr="003C56FA" w:rsidRDefault="000B644B" w:rsidP="00A04C8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C56FA" w:rsidRPr="003C56FA">
        <w:rPr>
          <w:rFonts w:asciiTheme="minorEastAsia" w:hAnsiTheme="minorEastAsia" w:cs="Tahoma"/>
          <w:kern w:val="0"/>
          <w:sz w:val="24"/>
          <w:szCs w:val="24"/>
        </w:rPr>
        <w:t>资产管理的基本原则是：合法、谨慎、安全、有效。</w:t>
      </w:r>
    </w:p>
    <w:p w:rsidR="003C56FA" w:rsidRPr="003C56FA" w:rsidRDefault="000B644B" w:rsidP="00A04C8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C56FA" w:rsidRPr="003C56FA">
        <w:rPr>
          <w:rFonts w:asciiTheme="minorEastAsia" w:hAnsiTheme="minorEastAsia" w:cs="Tahoma"/>
          <w:kern w:val="0"/>
          <w:sz w:val="24"/>
          <w:szCs w:val="24"/>
        </w:rPr>
        <w:t>按照《民间非营利组织会计制度》对资产进行会计核算和信息披露。</w:t>
      </w:r>
    </w:p>
    <w:p w:rsidR="003C56FA" w:rsidRPr="001A18E5" w:rsidRDefault="003C56FA" w:rsidP="00A04C8F">
      <w:pPr>
        <w:widowControl/>
        <w:shd w:val="clear" w:color="auto" w:fill="FFFFFF"/>
        <w:adjustRightInd w:val="0"/>
        <w:spacing w:line="360" w:lineRule="auto"/>
        <w:ind w:rightChars="21" w:right="44"/>
        <w:jc w:val="center"/>
        <w:rPr>
          <w:rFonts w:asciiTheme="minorEastAsia" w:hAnsiTheme="minorEastAsia" w:cs="Tahoma"/>
          <w:b/>
          <w:bCs/>
          <w:kern w:val="0"/>
          <w:sz w:val="28"/>
          <w:szCs w:val="24"/>
        </w:rPr>
      </w:pPr>
      <w:r w:rsidRPr="001A18E5">
        <w:rPr>
          <w:rFonts w:asciiTheme="minorEastAsia" w:hAnsiTheme="minorEastAsia" w:cs="Tahoma"/>
          <w:b/>
          <w:bCs/>
          <w:kern w:val="0"/>
          <w:sz w:val="28"/>
          <w:szCs w:val="24"/>
        </w:rPr>
        <w:t>第二章 资产</w:t>
      </w:r>
      <w:r w:rsidR="00D122EB" w:rsidRPr="001A18E5">
        <w:rPr>
          <w:rFonts w:asciiTheme="minorEastAsia" w:hAnsiTheme="minorEastAsia" w:cs="Tahoma" w:hint="eastAsia"/>
          <w:b/>
          <w:bCs/>
          <w:kern w:val="0"/>
          <w:sz w:val="28"/>
          <w:szCs w:val="24"/>
        </w:rPr>
        <w:t>分类</w:t>
      </w:r>
    </w:p>
    <w:p w:rsidR="00D122EB" w:rsidRDefault="003C56FA" w:rsidP="00A04C8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本制度所称资产指</w:t>
      </w:r>
      <w:r w:rsidR="00D122EB" w:rsidRPr="003C56FA">
        <w:rPr>
          <w:rFonts w:asciiTheme="minorEastAsia" w:hAnsiTheme="minorEastAsia" w:cs="Tahoma"/>
          <w:kern w:val="0"/>
          <w:sz w:val="24"/>
          <w:szCs w:val="24"/>
        </w:rPr>
        <w:t>固定资产</w:t>
      </w:r>
      <w:r w:rsidR="00D122EB">
        <w:rPr>
          <w:rFonts w:asciiTheme="minorEastAsia" w:hAnsiTheme="minorEastAsia" w:cs="Tahoma" w:hint="eastAsia"/>
          <w:kern w:val="0"/>
          <w:sz w:val="24"/>
          <w:szCs w:val="24"/>
        </w:rPr>
        <w:t>和</w:t>
      </w:r>
      <w:r w:rsidRPr="003C56FA">
        <w:rPr>
          <w:rFonts w:asciiTheme="minorEastAsia" w:hAnsiTheme="minorEastAsia" w:cs="Tahoma"/>
          <w:kern w:val="0"/>
          <w:sz w:val="24"/>
          <w:szCs w:val="24"/>
        </w:rPr>
        <w:t>投资资产两类。</w:t>
      </w:r>
    </w:p>
    <w:p w:rsidR="00D122EB" w:rsidRDefault="00D122EB" w:rsidP="00A04C8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固定资产是指为行政管理、提供服务、生产商品或者出租目的而持有的，单位价值在</w:t>
      </w:r>
      <w:r w:rsidR="00541647">
        <w:rPr>
          <w:rFonts w:asciiTheme="minorEastAsia" w:hAnsiTheme="minorEastAsia" w:cs="Tahoma" w:hint="eastAsia"/>
          <w:kern w:val="0"/>
          <w:sz w:val="24"/>
          <w:szCs w:val="24"/>
        </w:rPr>
        <w:t>2</w:t>
      </w:r>
      <w:r w:rsidRPr="003C56FA">
        <w:rPr>
          <w:rFonts w:asciiTheme="minorEastAsia" w:hAnsiTheme="minorEastAsia" w:cs="Tahoma"/>
          <w:kern w:val="0"/>
          <w:sz w:val="24"/>
          <w:szCs w:val="24"/>
        </w:rPr>
        <w:t>000元以上，预计使用年限超过1年，并在使用过程中基本保持原来物质形态的有形资产。对于单价虽然未达到规定标准，但使用时间在1年以上的大批同类物资，应作为固定资产核算，如办公家具等。</w:t>
      </w:r>
    </w:p>
    <w:p w:rsidR="003C56FA" w:rsidRPr="003C56FA" w:rsidRDefault="008A73EB" w:rsidP="00A04C8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/>
          <w:kern w:val="0"/>
          <w:sz w:val="24"/>
          <w:szCs w:val="24"/>
        </w:rPr>
        <w:t>投资资产是指</w:t>
      </w:r>
      <w:r w:rsidR="000B644B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C56FA" w:rsidRPr="003C56FA">
        <w:rPr>
          <w:rFonts w:asciiTheme="minorEastAsia" w:hAnsiTheme="minorEastAsia" w:cs="Tahoma"/>
          <w:kern w:val="0"/>
          <w:sz w:val="24"/>
          <w:szCs w:val="24"/>
        </w:rPr>
        <w:t>用于短期投资或长期投资形成的资产，及其因此而形成的资产。</w:t>
      </w:r>
    </w:p>
    <w:p w:rsidR="003C56FA" w:rsidRPr="003C56FA" w:rsidRDefault="000B644B" w:rsidP="00A04C8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C56FA" w:rsidRPr="003C56FA">
        <w:rPr>
          <w:rFonts w:asciiTheme="minorEastAsia" w:hAnsiTheme="minorEastAsia" w:cs="Tahoma"/>
          <w:kern w:val="0"/>
          <w:sz w:val="24"/>
          <w:szCs w:val="24"/>
        </w:rPr>
        <w:t>理事会对资产管理履行决策职责；</w:t>
      </w:r>
    </w:p>
    <w:p w:rsidR="003C56FA" w:rsidRPr="00D122EB" w:rsidRDefault="003C56FA" w:rsidP="00A04C8F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D122EB">
        <w:rPr>
          <w:rFonts w:asciiTheme="minorEastAsia" w:hAnsiTheme="minorEastAsia" w:cs="Tahoma"/>
          <w:kern w:val="0"/>
          <w:sz w:val="24"/>
          <w:szCs w:val="24"/>
        </w:rPr>
        <w:t>制定资产管理的具体规定。</w:t>
      </w:r>
    </w:p>
    <w:p w:rsidR="003C56FA" w:rsidRPr="003C56FA" w:rsidRDefault="003C56FA" w:rsidP="00A04C8F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决定重大投资活动。 </w:t>
      </w:r>
    </w:p>
    <w:p w:rsidR="003C56FA" w:rsidRPr="003C56FA" w:rsidRDefault="003C56FA" w:rsidP="00A04C8F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制定年度投资计划和资产处置计划。</w:t>
      </w:r>
    </w:p>
    <w:p w:rsidR="003C56FA" w:rsidRPr="003C56FA" w:rsidRDefault="003C56FA" w:rsidP="00A04C8F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检查、监督办公室的投资管理和资产处置工作。</w:t>
      </w:r>
    </w:p>
    <w:p w:rsidR="003C56FA" w:rsidRPr="003C56FA" w:rsidRDefault="003C56FA" w:rsidP="00A04C8F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 xml:space="preserve">其它有关资产管理的重大事项。　</w:t>
      </w:r>
    </w:p>
    <w:p w:rsidR="003C56FA" w:rsidRPr="003C56FA" w:rsidRDefault="000B644B" w:rsidP="00A04C8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14118">
        <w:rPr>
          <w:rFonts w:asciiTheme="minorEastAsia" w:hAnsiTheme="minorEastAsia" w:cs="Tahoma" w:hint="eastAsia"/>
          <w:kern w:val="0"/>
          <w:sz w:val="24"/>
          <w:szCs w:val="24"/>
        </w:rPr>
        <w:t>财务</w:t>
      </w:r>
      <w:r w:rsidR="003C56FA" w:rsidRPr="003C56FA">
        <w:rPr>
          <w:rFonts w:asciiTheme="minorEastAsia" w:hAnsiTheme="minorEastAsia" w:cs="Tahoma"/>
          <w:kern w:val="0"/>
          <w:sz w:val="24"/>
          <w:szCs w:val="24"/>
        </w:rPr>
        <w:t>部对资产履行</w:t>
      </w:r>
      <w:r w:rsidR="00D122EB">
        <w:rPr>
          <w:rFonts w:asciiTheme="minorEastAsia" w:hAnsiTheme="minorEastAsia" w:cs="Tahoma" w:hint="eastAsia"/>
          <w:kern w:val="0"/>
          <w:sz w:val="24"/>
          <w:szCs w:val="24"/>
        </w:rPr>
        <w:t>如下</w:t>
      </w:r>
      <w:r w:rsidR="003C56FA" w:rsidRPr="003C56FA">
        <w:rPr>
          <w:rFonts w:asciiTheme="minorEastAsia" w:hAnsiTheme="minorEastAsia" w:cs="Tahoma"/>
          <w:kern w:val="0"/>
          <w:sz w:val="24"/>
          <w:szCs w:val="24"/>
        </w:rPr>
        <w:t>管理职责：</w:t>
      </w:r>
    </w:p>
    <w:p w:rsidR="003C56FA" w:rsidRPr="003C56FA" w:rsidRDefault="003C56FA" w:rsidP="00A04C8F">
      <w:pPr>
        <w:pStyle w:val="a7"/>
        <w:widowControl/>
        <w:numPr>
          <w:ilvl w:val="0"/>
          <w:numId w:val="5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执行理事会的有关决议和规定。</w:t>
      </w:r>
    </w:p>
    <w:p w:rsidR="003C56FA" w:rsidRPr="003C56FA" w:rsidRDefault="003C56FA" w:rsidP="00A04C8F">
      <w:pPr>
        <w:pStyle w:val="a7"/>
        <w:widowControl/>
        <w:numPr>
          <w:ilvl w:val="0"/>
          <w:numId w:val="5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执行年度投资计划和资产处置计划，负责相关投资管理和资产处置工作。</w:t>
      </w:r>
    </w:p>
    <w:p w:rsidR="003C56FA" w:rsidRPr="003C56FA" w:rsidRDefault="003C56FA" w:rsidP="00A04C8F">
      <w:pPr>
        <w:pStyle w:val="a7"/>
        <w:widowControl/>
        <w:numPr>
          <w:ilvl w:val="0"/>
          <w:numId w:val="5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负责对所投资项目的监督和管理。</w:t>
      </w:r>
    </w:p>
    <w:p w:rsidR="003C56FA" w:rsidRDefault="003C56FA" w:rsidP="00A04C8F">
      <w:pPr>
        <w:pStyle w:val="a7"/>
        <w:widowControl/>
        <w:numPr>
          <w:ilvl w:val="0"/>
          <w:numId w:val="5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负责资产的财务管理与会计核算，依法编制财务会计报表，定期向理事会报告。</w:t>
      </w:r>
    </w:p>
    <w:p w:rsidR="00314118" w:rsidRPr="001A18E5" w:rsidRDefault="00314118" w:rsidP="00A04C8F">
      <w:pPr>
        <w:widowControl/>
        <w:shd w:val="clear" w:color="auto" w:fill="FFFFFF"/>
        <w:adjustRightInd w:val="0"/>
        <w:spacing w:line="360" w:lineRule="auto"/>
        <w:ind w:rightChars="21" w:right="44"/>
        <w:jc w:val="center"/>
        <w:rPr>
          <w:rFonts w:asciiTheme="minorEastAsia" w:hAnsiTheme="minorEastAsia" w:cs="Tahoma"/>
          <w:b/>
          <w:bCs/>
          <w:kern w:val="0"/>
          <w:sz w:val="28"/>
          <w:szCs w:val="24"/>
        </w:rPr>
      </w:pPr>
      <w:r w:rsidRPr="001A18E5">
        <w:rPr>
          <w:rFonts w:asciiTheme="minorEastAsia" w:hAnsiTheme="minorEastAsia" w:cs="Tahoma"/>
          <w:b/>
          <w:bCs/>
          <w:kern w:val="0"/>
          <w:sz w:val="28"/>
          <w:szCs w:val="24"/>
        </w:rPr>
        <w:t>第</w:t>
      </w:r>
      <w:r w:rsidRPr="001A18E5">
        <w:rPr>
          <w:rFonts w:asciiTheme="minorEastAsia" w:hAnsiTheme="minorEastAsia" w:cs="Tahoma" w:hint="eastAsia"/>
          <w:b/>
          <w:bCs/>
          <w:kern w:val="0"/>
          <w:sz w:val="28"/>
          <w:szCs w:val="24"/>
        </w:rPr>
        <w:t>三</w:t>
      </w:r>
      <w:r w:rsidRPr="001A18E5">
        <w:rPr>
          <w:rFonts w:asciiTheme="minorEastAsia" w:hAnsiTheme="minorEastAsia" w:cs="Tahoma"/>
          <w:b/>
          <w:bCs/>
          <w:kern w:val="0"/>
          <w:sz w:val="28"/>
          <w:szCs w:val="24"/>
        </w:rPr>
        <w:t xml:space="preserve">章 </w:t>
      </w:r>
      <w:r w:rsidRPr="001A18E5">
        <w:rPr>
          <w:rFonts w:asciiTheme="minorEastAsia" w:hAnsiTheme="minorEastAsia" w:cs="Tahoma" w:hint="eastAsia"/>
          <w:b/>
          <w:bCs/>
          <w:kern w:val="0"/>
          <w:sz w:val="28"/>
          <w:szCs w:val="24"/>
        </w:rPr>
        <w:t>固定</w:t>
      </w:r>
      <w:r w:rsidRPr="001A18E5">
        <w:rPr>
          <w:rFonts w:asciiTheme="minorEastAsia" w:hAnsiTheme="minorEastAsia" w:cs="Tahoma"/>
          <w:b/>
          <w:bCs/>
          <w:kern w:val="0"/>
          <w:sz w:val="28"/>
          <w:szCs w:val="24"/>
        </w:rPr>
        <w:t>资产</w:t>
      </w:r>
      <w:r w:rsidRPr="001A18E5">
        <w:rPr>
          <w:rFonts w:asciiTheme="minorEastAsia" w:hAnsiTheme="minorEastAsia" w:cs="Tahoma" w:hint="eastAsia"/>
          <w:b/>
          <w:bCs/>
          <w:kern w:val="0"/>
          <w:sz w:val="28"/>
          <w:szCs w:val="24"/>
        </w:rPr>
        <w:t>管理</w:t>
      </w:r>
    </w:p>
    <w:p w:rsidR="00B2558F" w:rsidRPr="003C56FA" w:rsidRDefault="00B2558F" w:rsidP="00A04C8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固定资产的日常管理由</w:t>
      </w:r>
      <w:r w:rsidR="000B644B">
        <w:rPr>
          <w:rFonts w:asciiTheme="minorEastAsia" w:hAnsiTheme="minorEastAsia" w:cs="Tahoma" w:hint="eastAsia"/>
          <w:kern w:val="0"/>
          <w:sz w:val="24"/>
          <w:szCs w:val="24"/>
        </w:rPr>
        <w:t>机构综合办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负责，具体工作如下：</w:t>
      </w:r>
    </w:p>
    <w:p w:rsidR="00314118" w:rsidRPr="003C56FA" w:rsidRDefault="00314118" w:rsidP="00A04C8F">
      <w:pPr>
        <w:pStyle w:val="a7"/>
        <w:widowControl/>
        <w:numPr>
          <w:ilvl w:val="0"/>
          <w:numId w:val="6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lastRenderedPageBreak/>
        <w:t>编制固定资产目录，建立固定资产</w:t>
      </w:r>
      <w:proofErr w:type="gramStart"/>
      <w:r w:rsidRPr="003C56FA">
        <w:rPr>
          <w:rFonts w:asciiTheme="minorEastAsia" w:hAnsiTheme="minorEastAsia" w:cs="Tahoma"/>
          <w:kern w:val="0"/>
          <w:sz w:val="24"/>
          <w:szCs w:val="24"/>
        </w:rPr>
        <w:t>实物台</w:t>
      </w:r>
      <w:proofErr w:type="gramEnd"/>
      <w:r w:rsidRPr="003C56FA">
        <w:rPr>
          <w:rFonts w:asciiTheme="minorEastAsia" w:hAnsiTheme="minorEastAsia" w:cs="Tahoma"/>
          <w:kern w:val="0"/>
          <w:sz w:val="24"/>
          <w:szCs w:val="24"/>
        </w:rPr>
        <w:t>账。</w:t>
      </w:r>
    </w:p>
    <w:p w:rsidR="00314118" w:rsidRPr="003C56FA" w:rsidRDefault="00314118" w:rsidP="00A04C8F">
      <w:pPr>
        <w:pStyle w:val="a7"/>
        <w:widowControl/>
        <w:numPr>
          <w:ilvl w:val="0"/>
          <w:numId w:val="6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设立固定资产卡片，对固定资产进行统一分类编号，并落实到使用人。</w:t>
      </w:r>
    </w:p>
    <w:p w:rsidR="00314118" w:rsidRPr="003C56FA" w:rsidRDefault="00314118" w:rsidP="00A04C8F">
      <w:pPr>
        <w:pStyle w:val="a7"/>
        <w:widowControl/>
        <w:numPr>
          <w:ilvl w:val="0"/>
          <w:numId w:val="6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办理固定资产的申购、验收、领用、移交、报废、处置等手续。</w:t>
      </w:r>
    </w:p>
    <w:p w:rsidR="00314118" w:rsidRPr="003C56FA" w:rsidRDefault="00314118" w:rsidP="00A04C8F">
      <w:pPr>
        <w:pStyle w:val="a7"/>
        <w:widowControl/>
        <w:numPr>
          <w:ilvl w:val="0"/>
          <w:numId w:val="6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组织固定资产的清查盘点，定期与财务人员进行固定资产核算，做到账</w:t>
      </w:r>
      <w:proofErr w:type="gramStart"/>
      <w:r w:rsidRPr="003C56FA">
        <w:rPr>
          <w:rFonts w:asciiTheme="minorEastAsia" w:hAnsiTheme="minorEastAsia" w:cs="Tahoma"/>
          <w:kern w:val="0"/>
          <w:sz w:val="24"/>
          <w:szCs w:val="24"/>
        </w:rPr>
        <w:t>账</w:t>
      </w:r>
      <w:proofErr w:type="gramEnd"/>
      <w:r w:rsidRPr="003C56FA">
        <w:rPr>
          <w:rFonts w:asciiTheme="minorEastAsia" w:hAnsiTheme="minorEastAsia" w:cs="Tahoma"/>
          <w:kern w:val="0"/>
          <w:sz w:val="24"/>
          <w:szCs w:val="24"/>
        </w:rPr>
        <w:t>相符、账实相符。</w:t>
      </w:r>
    </w:p>
    <w:p w:rsidR="00314118" w:rsidRPr="003C56FA" w:rsidRDefault="00314118" w:rsidP="00A04C8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固定资产的核算</w:t>
      </w:r>
      <w:r w:rsidR="00B2558F">
        <w:rPr>
          <w:rFonts w:asciiTheme="minorEastAsia" w:hAnsiTheme="minorEastAsia" w:cs="Tahoma" w:hint="eastAsia"/>
          <w:kern w:val="0"/>
          <w:sz w:val="24"/>
          <w:szCs w:val="24"/>
        </w:rPr>
        <w:t>管理</w:t>
      </w:r>
      <w:r w:rsidR="00847F05">
        <w:rPr>
          <w:rFonts w:asciiTheme="minorEastAsia" w:hAnsiTheme="minorEastAsia" w:cs="Tahoma" w:hint="eastAsia"/>
          <w:kern w:val="0"/>
          <w:sz w:val="24"/>
          <w:szCs w:val="24"/>
        </w:rPr>
        <w:t>要求</w:t>
      </w:r>
      <w:r w:rsidR="00B2558F">
        <w:rPr>
          <w:rFonts w:asciiTheme="minorEastAsia" w:hAnsiTheme="minorEastAsia" w:cs="Tahoma" w:hint="eastAsia"/>
          <w:kern w:val="0"/>
          <w:sz w:val="24"/>
          <w:szCs w:val="24"/>
        </w:rPr>
        <w:t>：</w:t>
      </w:r>
    </w:p>
    <w:p w:rsidR="00314118" w:rsidRPr="003C56FA" w:rsidRDefault="00314118" w:rsidP="00A04C8F">
      <w:pPr>
        <w:pStyle w:val="a7"/>
        <w:widowControl/>
        <w:numPr>
          <w:ilvl w:val="0"/>
          <w:numId w:val="7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固定资产应设置总</w:t>
      </w:r>
      <w:r w:rsidR="00B2558F">
        <w:rPr>
          <w:rFonts w:asciiTheme="minorEastAsia" w:hAnsiTheme="minorEastAsia" w:cs="Tahoma"/>
          <w:kern w:val="0"/>
          <w:sz w:val="24"/>
          <w:szCs w:val="24"/>
        </w:rPr>
        <w:t>账</w:t>
      </w:r>
      <w:r w:rsidRPr="003C56FA">
        <w:rPr>
          <w:rFonts w:asciiTheme="minorEastAsia" w:hAnsiTheme="minorEastAsia" w:cs="Tahoma"/>
          <w:kern w:val="0"/>
          <w:sz w:val="24"/>
          <w:szCs w:val="24"/>
        </w:rPr>
        <w:t>及明细分类</w:t>
      </w:r>
      <w:r w:rsidR="00B2558F">
        <w:rPr>
          <w:rFonts w:asciiTheme="minorEastAsia" w:hAnsiTheme="minorEastAsia" w:cs="Tahoma"/>
          <w:kern w:val="0"/>
          <w:sz w:val="24"/>
          <w:szCs w:val="24"/>
        </w:rPr>
        <w:t>账</w:t>
      </w:r>
      <w:r w:rsidRPr="003C56FA">
        <w:rPr>
          <w:rFonts w:asciiTheme="minorEastAsia" w:hAnsiTheme="minorEastAsia" w:cs="Tahoma"/>
          <w:kern w:val="0"/>
          <w:sz w:val="24"/>
          <w:szCs w:val="24"/>
        </w:rPr>
        <w:t>。</w:t>
      </w:r>
    </w:p>
    <w:p w:rsidR="00314118" w:rsidRPr="003C56FA" w:rsidRDefault="00314118" w:rsidP="00A04C8F">
      <w:pPr>
        <w:pStyle w:val="a7"/>
        <w:widowControl/>
        <w:numPr>
          <w:ilvl w:val="0"/>
          <w:numId w:val="7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财务人员应对固定资产的增减变动及时进行</w:t>
      </w:r>
      <w:r w:rsidR="00B2558F">
        <w:rPr>
          <w:rFonts w:asciiTheme="minorEastAsia" w:hAnsiTheme="minorEastAsia" w:cs="Tahoma"/>
          <w:kern w:val="0"/>
          <w:sz w:val="24"/>
          <w:szCs w:val="24"/>
        </w:rPr>
        <w:t>账</w:t>
      </w:r>
      <w:r w:rsidRPr="003C56FA">
        <w:rPr>
          <w:rFonts w:asciiTheme="minorEastAsia" w:hAnsiTheme="minorEastAsia" w:cs="Tahoma"/>
          <w:kern w:val="0"/>
          <w:sz w:val="24"/>
          <w:szCs w:val="24"/>
        </w:rPr>
        <w:t>务处理，并按相关规定对固定资产计提折旧。固定资产采用平均年限法按月计提折旧，预计净残值率5%。</w:t>
      </w:r>
    </w:p>
    <w:p w:rsidR="00314118" w:rsidRPr="003C56FA" w:rsidRDefault="00314118" w:rsidP="00A04C8F">
      <w:pPr>
        <w:pStyle w:val="a7"/>
        <w:widowControl/>
        <w:numPr>
          <w:ilvl w:val="0"/>
          <w:numId w:val="7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固定资产的分类及折旧年限规定：</w:t>
      </w:r>
    </w:p>
    <w:p w:rsidR="00314118" w:rsidRPr="00107070" w:rsidRDefault="00314118" w:rsidP="00A04C8F">
      <w:pPr>
        <w:pStyle w:val="a7"/>
        <w:widowControl/>
        <w:numPr>
          <w:ilvl w:val="0"/>
          <w:numId w:val="9"/>
        </w:numPr>
        <w:shd w:val="clear" w:color="auto" w:fill="FFFFFF"/>
        <w:adjustRightInd w:val="0"/>
        <w:spacing w:line="360" w:lineRule="auto"/>
        <w:ind w:rightChars="21" w:right="44" w:firstLineChars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107070">
        <w:rPr>
          <w:rFonts w:asciiTheme="minorEastAsia" w:hAnsiTheme="minorEastAsia" w:cs="Tahoma"/>
          <w:kern w:val="0"/>
          <w:sz w:val="24"/>
          <w:szCs w:val="24"/>
        </w:rPr>
        <w:t>房屋及</w:t>
      </w:r>
      <w:r w:rsidR="00107070">
        <w:rPr>
          <w:rFonts w:asciiTheme="minorEastAsia" w:hAnsiTheme="minorEastAsia" w:cs="Tahoma" w:hint="eastAsia"/>
          <w:kern w:val="0"/>
          <w:sz w:val="24"/>
          <w:szCs w:val="24"/>
        </w:rPr>
        <w:t>附属设施</w:t>
      </w:r>
      <w:r w:rsidRPr="00107070">
        <w:rPr>
          <w:rFonts w:asciiTheme="minorEastAsia" w:hAnsiTheme="minorEastAsia" w:cs="Tahoma"/>
          <w:kern w:val="0"/>
          <w:sz w:val="24"/>
          <w:szCs w:val="24"/>
        </w:rPr>
        <w:t>。指房屋、建筑物及其附属设施。房屋包括办公用房；附属设施包括房屋、建筑物内的电梯、通讯线路、输电线路等。折旧年限一般为20年。</w:t>
      </w:r>
    </w:p>
    <w:p w:rsidR="00314118" w:rsidRPr="003C56FA" w:rsidRDefault="00314118" w:rsidP="00A04C8F">
      <w:pPr>
        <w:pStyle w:val="a7"/>
        <w:widowControl/>
        <w:numPr>
          <w:ilvl w:val="0"/>
          <w:numId w:val="9"/>
        </w:numPr>
        <w:shd w:val="clear" w:color="auto" w:fill="FFFFFF"/>
        <w:adjustRightInd w:val="0"/>
        <w:spacing w:line="360" w:lineRule="auto"/>
        <w:ind w:rightChars="21" w:right="44" w:firstLineChars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交通设备：包括轿车、商务车等。折旧年限一般为10年。</w:t>
      </w:r>
    </w:p>
    <w:p w:rsidR="00314118" w:rsidRPr="003C56FA" w:rsidRDefault="00314118" w:rsidP="00A04C8F">
      <w:pPr>
        <w:pStyle w:val="a7"/>
        <w:widowControl/>
        <w:numPr>
          <w:ilvl w:val="0"/>
          <w:numId w:val="9"/>
        </w:numPr>
        <w:shd w:val="clear" w:color="auto" w:fill="FFFFFF"/>
        <w:adjustRightInd w:val="0"/>
        <w:spacing w:line="360" w:lineRule="auto"/>
        <w:ind w:rightChars="21" w:right="44" w:firstLineChars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电子设备：包括显示器、主机、打印机、复印机、扫描仪、投影仪、相机、</w:t>
      </w:r>
      <w:r w:rsidR="00C07BF3">
        <w:rPr>
          <w:rFonts w:asciiTheme="minorEastAsia" w:hAnsiTheme="minorEastAsia" w:cs="Tahoma" w:hint="eastAsia"/>
          <w:kern w:val="0"/>
          <w:sz w:val="24"/>
          <w:szCs w:val="24"/>
        </w:rPr>
        <w:t>摄相机</w:t>
      </w:r>
      <w:r w:rsidRPr="003C56FA">
        <w:rPr>
          <w:rFonts w:asciiTheme="minorEastAsia" w:hAnsiTheme="minorEastAsia" w:cs="Tahoma"/>
          <w:kern w:val="0"/>
          <w:sz w:val="24"/>
          <w:szCs w:val="24"/>
        </w:rPr>
        <w:t>等相关办公设备。折旧年限一般为3年。</w:t>
      </w:r>
    </w:p>
    <w:p w:rsidR="00314118" w:rsidRPr="003C56FA" w:rsidRDefault="00314118" w:rsidP="00A04C8F">
      <w:pPr>
        <w:pStyle w:val="a7"/>
        <w:widowControl/>
        <w:numPr>
          <w:ilvl w:val="0"/>
          <w:numId w:val="9"/>
        </w:numPr>
        <w:shd w:val="clear" w:color="auto" w:fill="FFFFFF"/>
        <w:adjustRightInd w:val="0"/>
        <w:spacing w:line="360" w:lineRule="auto"/>
        <w:ind w:rightChars="21" w:right="44" w:firstLineChars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办公家具：包括空调、饮水机、文件柜、办公桌椅等。折旧年限一般为5年。</w:t>
      </w:r>
    </w:p>
    <w:p w:rsidR="00314118" w:rsidRPr="003C56FA" w:rsidRDefault="00314118" w:rsidP="00A04C8F">
      <w:pPr>
        <w:pStyle w:val="a7"/>
        <w:widowControl/>
        <w:numPr>
          <w:ilvl w:val="0"/>
          <w:numId w:val="9"/>
        </w:numPr>
        <w:shd w:val="clear" w:color="auto" w:fill="FFFFFF"/>
        <w:adjustRightInd w:val="0"/>
        <w:spacing w:line="360" w:lineRule="auto"/>
        <w:ind w:rightChars="21" w:right="44" w:firstLineChars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其它固定资产。指未能包括在上述各项内的固定资产。</w:t>
      </w:r>
    </w:p>
    <w:p w:rsidR="00314118" w:rsidRPr="003C56FA" w:rsidRDefault="000B644B" w:rsidP="00A04C8F">
      <w:pPr>
        <w:pStyle w:val="a7"/>
        <w:widowControl/>
        <w:numPr>
          <w:ilvl w:val="0"/>
          <w:numId w:val="7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14118" w:rsidRPr="003C56FA">
        <w:rPr>
          <w:rFonts w:asciiTheme="minorEastAsia" w:hAnsiTheme="minorEastAsia" w:cs="Tahoma"/>
          <w:kern w:val="0"/>
          <w:sz w:val="24"/>
          <w:szCs w:val="24"/>
        </w:rPr>
        <w:t>固定资产的管理和使用实行统一核算、责任到人、物尽其用的原则。</w:t>
      </w:r>
    </w:p>
    <w:p w:rsidR="00314118" w:rsidRPr="003C56FA" w:rsidRDefault="000B644B" w:rsidP="00A04C8F">
      <w:pPr>
        <w:pStyle w:val="a7"/>
        <w:widowControl/>
        <w:numPr>
          <w:ilvl w:val="0"/>
          <w:numId w:val="7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14118" w:rsidRPr="003C56FA">
        <w:rPr>
          <w:rFonts w:asciiTheme="minorEastAsia" w:hAnsiTheme="minorEastAsia" w:cs="Tahoma"/>
          <w:kern w:val="0"/>
          <w:sz w:val="24"/>
          <w:szCs w:val="24"/>
        </w:rPr>
        <w:t>的固定资产，其他组织和个人不得侵占、挪用或任意调拨。</w:t>
      </w:r>
    </w:p>
    <w:p w:rsidR="00314118" w:rsidRDefault="00314118" w:rsidP="00A04C8F">
      <w:pPr>
        <w:pStyle w:val="a7"/>
        <w:widowControl/>
        <w:numPr>
          <w:ilvl w:val="0"/>
          <w:numId w:val="7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固定资产管理人员变动时，必须做好交接工作。</w:t>
      </w:r>
    </w:p>
    <w:p w:rsidR="000C3600" w:rsidRPr="000C3600" w:rsidRDefault="000C3600" w:rsidP="00A04C8F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0C3600">
        <w:rPr>
          <w:rFonts w:asciiTheme="minorEastAsia" w:hAnsiTheme="minorEastAsia" w:cs="Tahoma"/>
          <w:kern w:val="0"/>
          <w:sz w:val="24"/>
          <w:szCs w:val="24"/>
        </w:rPr>
        <w:t>投资资产损失在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5</w:t>
      </w:r>
      <w:r w:rsidRPr="000C3600">
        <w:rPr>
          <w:rFonts w:asciiTheme="minorEastAsia" w:hAnsiTheme="minorEastAsia" w:cs="Tahoma"/>
          <w:kern w:val="0"/>
          <w:sz w:val="24"/>
          <w:szCs w:val="24"/>
        </w:rPr>
        <w:t>0万元（含）以下项目的资产处置方案，由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秘书长上报理事长</w:t>
      </w:r>
      <w:r w:rsidRPr="000C3600">
        <w:rPr>
          <w:rFonts w:asciiTheme="minorEastAsia" w:hAnsiTheme="minorEastAsia" w:cs="Tahoma"/>
          <w:kern w:val="0"/>
          <w:sz w:val="24"/>
          <w:szCs w:val="24"/>
        </w:rPr>
        <w:t>审批；投资损失超过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5</w:t>
      </w:r>
      <w:r w:rsidRPr="000C3600">
        <w:rPr>
          <w:rFonts w:asciiTheme="minorEastAsia" w:hAnsiTheme="minorEastAsia" w:cs="Tahoma"/>
          <w:kern w:val="0"/>
          <w:sz w:val="24"/>
          <w:szCs w:val="24"/>
        </w:rPr>
        <w:t>0</w:t>
      </w:r>
      <w:r>
        <w:rPr>
          <w:rFonts w:asciiTheme="minorEastAsia" w:hAnsiTheme="minorEastAsia" w:cs="Tahoma"/>
          <w:kern w:val="0"/>
          <w:sz w:val="24"/>
          <w:szCs w:val="24"/>
        </w:rPr>
        <w:t>万元时，其资产处置方案报理事会</w:t>
      </w:r>
      <w:r w:rsidRPr="000C3600">
        <w:rPr>
          <w:rFonts w:asciiTheme="minorEastAsia" w:hAnsiTheme="minorEastAsia" w:cs="Tahoma"/>
          <w:kern w:val="0"/>
          <w:sz w:val="24"/>
          <w:szCs w:val="24"/>
        </w:rPr>
        <w:t>审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议</w:t>
      </w:r>
      <w:r w:rsidRPr="000C3600">
        <w:rPr>
          <w:rFonts w:asciiTheme="minorEastAsia" w:hAnsiTheme="minorEastAsia" w:cs="Tahoma"/>
          <w:kern w:val="0"/>
          <w:sz w:val="24"/>
          <w:szCs w:val="24"/>
        </w:rPr>
        <w:t>后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处置</w:t>
      </w:r>
      <w:r w:rsidRPr="000C3600">
        <w:rPr>
          <w:rFonts w:asciiTheme="minorEastAsia" w:hAnsiTheme="minorEastAsia" w:cs="Tahoma"/>
          <w:kern w:val="0"/>
          <w:sz w:val="24"/>
          <w:szCs w:val="24"/>
        </w:rPr>
        <w:t>。</w:t>
      </w:r>
    </w:p>
    <w:p w:rsidR="000C3600" w:rsidRDefault="00DD55CB" w:rsidP="00A04C8F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/>
          <w:kern w:val="0"/>
          <w:sz w:val="24"/>
          <w:szCs w:val="24"/>
        </w:rPr>
        <w:t>固定资产的处置，应严格遵照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0C3600" w:rsidRPr="000C3600">
        <w:rPr>
          <w:rFonts w:asciiTheme="minorEastAsia" w:hAnsiTheme="minorEastAsia" w:cs="Tahoma"/>
          <w:kern w:val="0"/>
          <w:sz w:val="24"/>
          <w:szCs w:val="24"/>
        </w:rPr>
        <w:t>固定资产管理办法，严格履行审批手续，未经批准不得自行处置。</w:t>
      </w:r>
    </w:p>
    <w:p w:rsidR="0038205C" w:rsidRDefault="000C3600" w:rsidP="00A04C8F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0C3600">
        <w:rPr>
          <w:rFonts w:asciiTheme="minorEastAsia" w:hAnsiTheme="minorEastAsia" w:cs="Tahoma"/>
          <w:kern w:val="0"/>
          <w:sz w:val="24"/>
          <w:szCs w:val="24"/>
        </w:rPr>
        <w:t>对报废、报失、报损的办公设备，</w:t>
      </w:r>
      <w:r w:rsidR="0038205C">
        <w:rPr>
          <w:rFonts w:asciiTheme="minorEastAsia" w:hAnsiTheme="minorEastAsia" w:cs="Tahoma" w:hint="eastAsia"/>
          <w:kern w:val="0"/>
          <w:sz w:val="24"/>
          <w:szCs w:val="24"/>
        </w:rPr>
        <w:t>单价在5000元及以下的，</w:t>
      </w:r>
      <w:r w:rsidRPr="000C3600">
        <w:rPr>
          <w:rFonts w:asciiTheme="minorEastAsia" w:hAnsiTheme="minorEastAsia" w:cs="Tahoma"/>
          <w:kern w:val="0"/>
          <w:sz w:val="24"/>
          <w:szCs w:val="24"/>
        </w:rPr>
        <w:t>由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综合办</w:t>
      </w:r>
      <w:r w:rsidRPr="000C3600">
        <w:rPr>
          <w:rFonts w:asciiTheme="minorEastAsia" w:hAnsiTheme="minorEastAsia" w:cs="Tahoma"/>
          <w:kern w:val="0"/>
          <w:sz w:val="24"/>
          <w:szCs w:val="24"/>
        </w:rPr>
        <w:t>填写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《固定资产处置申请单》，经财务人员、秘书长</w:t>
      </w:r>
      <w:r w:rsidR="0038205C">
        <w:rPr>
          <w:rFonts w:asciiTheme="minorEastAsia" w:hAnsiTheme="minorEastAsia" w:cs="Tahoma" w:hint="eastAsia"/>
          <w:kern w:val="0"/>
          <w:sz w:val="24"/>
          <w:szCs w:val="24"/>
        </w:rPr>
        <w:t>审批后处置；单价在5000元以上的，还应报理事长审批。</w:t>
      </w:r>
    </w:p>
    <w:p w:rsidR="000C3600" w:rsidRPr="000C3600" w:rsidRDefault="0038205C" w:rsidP="00A04C8F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/>
          <w:kern w:val="0"/>
          <w:sz w:val="24"/>
          <w:szCs w:val="24"/>
        </w:rPr>
        <w:t>报废的办公设备由</w:t>
      </w:r>
      <w:r w:rsidR="000B644B">
        <w:rPr>
          <w:rFonts w:asciiTheme="minorEastAsia" w:hAnsiTheme="minorEastAsia" w:cs="Tahoma" w:hint="eastAsia"/>
          <w:kern w:val="0"/>
          <w:sz w:val="24"/>
          <w:szCs w:val="24"/>
        </w:rPr>
        <w:t>综合办</w:t>
      </w:r>
      <w:r w:rsidR="000C3600" w:rsidRPr="000C3600">
        <w:rPr>
          <w:rFonts w:asciiTheme="minorEastAsia" w:hAnsiTheme="minorEastAsia" w:cs="Tahoma"/>
          <w:kern w:val="0"/>
          <w:sz w:val="24"/>
          <w:szCs w:val="24"/>
        </w:rPr>
        <w:t>统一负责处置，处置后要及时更新固定资产台账，处置的残值收入必须及时入账。</w:t>
      </w:r>
    </w:p>
    <w:p w:rsidR="00314118" w:rsidRPr="001A18E5" w:rsidRDefault="00314118" w:rsidP="00A04C8F">
      <w:pPr>
        <w:widowControl/>
        <w:shd w:val="clear" w:color="auto" w:fill="FFFFFF"/>
        <w:adjustRightInd w:val="0"/>
        <w:spacing w:line="360" w:lineRule="auto"/>
        <w:ind w:rightChars="21" w:right="44"/>
        <w:jc w:val="center"/>
        <w:rPr>
          <w:rFonts w:asciiTheme="minorEastAsia" w:hAnsiTheme="minorEastAsia" w:cs="Tahoma"/>
          <w:b/>
          <w:bCs/>
          <w:kern w:val="0"/>
          <w:sz w:val="28"/>
          <w:szCs w:val="24"/>
        </w:rPr>
      </w:pPr>
      <w:r w:rsidRPr="001A18E5">
        <w:rPr>
          <w:rFonts w:asciiTheme="minorEastAsia" w:hAnsiTheme="minorEastAsia" w:cs="Tahoma"/>
          <w:b/>
          <w:bCs/>
          <w:kern w:val="0"/>
          <w:sz w:val="28"/>
          <w:szCs w:val="24"/>
        </w:rPr>
        <w:lastRenderedPageBreak/>
        <w:t>第</w:t>
      </w:r>
      <w:r w:rsidRPr="001A18E5">
        <w:rPr>
          <w:rFonts w:asciiTheme="minorEastAsia" w:hAnsiTheme="minorEastAsia" w:cs="Tahoma" w:hint="eastAsia"/>
          <w:b/>
          <w:bCs/>
          <w:kern w:val="0"/>
          <w:sz w:val="28"/>
          <w:szCs w:val="24"/>
        </w:rPr>
        <w:t>四</w:t>
      </w:r>
      <w:r w:rsidRPr="001A18E5">
        <w:rPr>
          <w:rFonts w:asciiTheme="minorEastAsia" w:hAnsiTheme="minorEastAsia" w:cs="Tahoma"/>
          <w:b/>
          <w:bCs/>
          <w:kern w:val="0"/>
          <w:sz w:val="28"/>
          <w:szCs w:val="24"/>
        </w:rPr>
        <w:t xml:space="preserve">章 </w:t>
      </w:r>
      <w:r w:rsidRPr="001A18E5">
        <w:rPr>
          <w:rFonts w:asciiTheme="minorEastAsia" w:hAnsiTheme="minorEastAsia" w:cs="Tahoma" w:hint="eastAsia"/>
          <w:b/>
          <w:bCs/>
          <w:kern w:val="0"/>
          <w:sz w:val="28"/>
          <w:szCs w:val="24"/>
        </w:rPr>
        <w:t>投资</w:t>
      </w:r>
      <w:r w:rsidRPr="001A18E5">
        <w:rPr>
          <w:rFonts w:asciiTheme="minorEastAsia" w:hAnsiTheme="minorEastAsia" w:cs="Tahoma"/>
          <w:b/>
          <w:bCs/>
          <w:kern w:val="0"/>
          <w:sz w:val="28"/>
          <w:szCs w:val="24"/>
        </w:rPr>
        <w:t>资产</w:t>
      </w:r>
      <w:r w:rsidRPr="001A18E5">
        <w:rPr>
          <w:rFonts w:asciiTheme="minorEastAsia" w:hAnsiTheme="minorEastAsia" w:cs="Tahoma" w:hint="eastAsia"/>
          <w:b/>
          <w:bCs/>
          <w:kern w:val="0"/>
          <w:sz w:val="28"/>
          <w:szCs w:val="24"/>
        </w:rPr>
        <w:t>管理</w:t>
      </w:r>
    </w:p>
    <w:p w:rsidR="003C56FA" w:rsidRPr="003C56FA" w:rsidRDefault="000B644B" w:rsidP="00A04C8F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C56FA" w:rsidRPr="003C56FA">
        <w:rPr>
          <w:rFonts w:asciiTheme="minorEastAsia" w:hAnsiTheme="minorEastAsia" w:cs="Tahoma"/>
          <w:kern w:val="0"/>
          <w:sz w:val="24"/>
          <w:szCs w:val="24"/>
        </w:rPr>
        <w:t>进行投资，应当确保资金安全，努力使资金保值、增值。</w:t>
      </w:r>
    </w:p>
    <w:p w:rsidR="003C56FA" w:rsidRPr="003C56FA" w:rsidRDefault="000B644B" w:rsidP="00A04C8F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C56FA" w:rsidRPr="003C56FA">
        <w:rPr>
          <w:rFonts w:asciiTheme="minorEastAsia" w:hAnsiTheme="minorEastAsia" w:cs="Tahoma"/>
          <w:kern w:val="0"/>
          <w:sz w:val="24"/>
          <w:szCs w:val="24"/>
        </w:rPr>
        <w:t>可用于投资的资产限于非限定性资产、在投资期间暂不需要拨付的</w:t>
      </w:r>
      <w:r w:rsidR="008A73EB">
        <w:rPr>
          <w:rFonts w:asciiTheme="minorEastAsia" w:hAnsiTheme="minorEastAsia" w:cs="Tahoma"/>
          <w:kern w:val="0"/>
          <w:sz w:val="24"/>
          <w:szCs w:val="24"/>
        </w:rPr>
        <w:t>限定性资产。如果捐赠人对捐赠财产能否投资和如何投资有特别约定，</w:t>
      </w:r>
      <w:r w:rsidR="00B67891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C56FA" w:rsidRPr="003C56FA">
        <w:rPr>
          <w:rFonts w:asciiTheme="minorEastAsia" w:hAnsiTheme="minorEastAsia" w:cs="Tahoma"/>
          <w:kern w:val="0"/>
          <w:sz w:val="24"/>
          <w:szCs w:val="24"/>
        </w:rPr>
        <w:t>应遵守该约定。</w:t>
      </w:r>
    </w:p>
    <w:p w:rsidR="003C56FA" w:rsidRPr="003C56FA" w:rsidRDefault="000B644B" w:rsidP="00A04C8F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C56FA" w:rsidRPr="003C56FA">
        <w:rPr>
          <w:rFonts w:asciiTheme="minorEastAsia" w:hAnsiTheme="minorEastAsia" w:cs="Tahoma"/>
          <w:kern w:val="0"/>
          <w:sz w:val="24"/>
          <w:szCs w:val="24"/>
        </w:rPr>
        <w:t>禁止从事以下行为：提供担保；在二级市场直接买卖股票；从事可能使</w:t>
      </w:r>
      <w:r w:rsidR="00A72791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C56FA" w:rsidRPr="003C56FA">
        <w:rPr>
          <w:rFonts w:asciiTheme="minorEastAsia" w:hAnsiTheme="minorEastAsia" w:cs="Tahoma"/>
          <w:kern w:val="0"/>
          <w:sz w:val="24"/>
          <w:szCs w:val="24"/>
        </w:rPr>
        <w:t>承担无限责任的投资；从事违背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C56FA" w:rsidRPr="003C56FA">
        <w:rPr>
          <w:rFonts w:asciiTheme="minorEastAsia" w:hAnsiTheme="minorEastAsia" w:cs="Tahoma"/>
          <w:kern w:val="0"/>
          <w:sz w:val="24"/>
          <w:szCs w:val="24"/>
        </w:rPr>
        <w:t>使命、可能损害信誉的投资；国家法律法规禁止的其他投资行为。</w:t>
      </w:r>
    </w:p>
    <w:p w:rsidR="003C56FA" w:rsidRPr="003C56FA" w:rsidRDefault="003C56FA" w:rsidP="00A04C8F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每一笔投资项目经费必须经秘书长、理事长审批</w:t>
      </w:r>
      <w:r w:rsidR="00DF70C4">
        <w:rPr>
          <w:rFonts w:asciiTheme="minorEastAsia" w:hAnsiTheme="minorEastAsia" w:cs="Tahoma" w:hint="eastAsia"/>
          <w:kern w:val="0"/>
          <w:sz w:val="24"/>
          <w:szCs w:val="24"/>
        </w:rPr>
        <w:t>通过</w:t>
      </w:r>
      <w:r w:rsidRPr="003C56FA">
        <w:rPr>
          <w:rFonts w:asciiTheme="minorEastAsia" w:hAnsiTheme="minorEastAsia" w:cs="Tahoma"/>
          <w:kern w:val="0"/>
          <w:sz w:val="24"/>
          <w:szCs w:val="24"/>
        </w:rPr>
        <w:t>。</w:t>
      </w:r>
    </w:p>
    <w:p w:rsidR="003C56FA" w:rsidRPr="003C56FA" w:rsidRDefault="003C56FA" w:rsidP="00A04C8F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每个投资项目必须建立专项档案，专人负责，完整保存投资的</w:t>
      </w:r>
      <w:r w:rsidR="00DF70C4">
        <w:rPr>
          <w:rFonts w:asciiTheme="minorEastAsia" w:hAnsiTheme="minorEastAsia" w:cs="Tahoma" w:hint="eastAsia"/>
          <w:kern w:val="0"/>
          <w:sz w:val="24"/>
          <w:szCs w:val="24"/>
        </w:rPr>
        <w:t xml:space="preserve"> </w:t>
      </w:r>
      <w:r w:rsidRPr="003C56FA">
        <w:rPr>
          <w:rFonts w:asciiTheme="minorEastAsia" w:hAnsiTheme="minorEastAsia" w:cs="Tahoma"/>
          <w:kern w:val="0"/>
          <w:sz w:val="24"/>
          <w:szCs w:val="24"/>
        </w:rPr>
        <w:t>论证、审批、管理和回收等过程的资料。</w:t>
      </w:r>
    </w:p>
    <w:p w:rsidR="003C56FA" w:rsidRPr="001A18E5" w:rsidRDefault="00FE187E" w:rsidP="00A04C8F">
      <w:pPr>
        <w:widowControl/>
        <w:shd w:val="clear" w:color="auto" w:fill="FFFFFF"/>
        <w:adjustRightInd w:val="0"/>
        <w:spacing w:line="360" w:lineRule="auto"/>
        <w:ind w:rightChars="21" w:right="44"/>
        <w:jc w:val="center"/>
        <w:rPr>
          <w:rFonts w:asciiTheme="minorEastAsia" w:hAnsiTheme="minorEastAsia" w:cs="Tahoma"/>
          <w:b/>
          <w:bCs/>
          <w:kern w:val="0"/>
          <w:sz w:val="28"/>
          <w:szCs w:val="24"/>
        </w:rPr>
      </w:pPr>
      <w:r w:rsidRPr="001A18E5">
        <w:rPr>
          <w:rFonts w:asciiTheme="minorEastAsia" w:hAnsiTheme="minorEastAsia" w:cs="Tahoma"/>
          <w:b/>
          <w:bCs/>
          <w:kern w:val="0"/>
          <w:sz w:val="28"/>
          <w:szCs w:val="24"/>
        </w:rPr>
        <w:t>第</w:t>
      </w:r>
      <w:r w:rsidRPr="001A18E5">
        <w:rPr>
          <w:rFonts w:asciiTheme="minorEastAsia" w:hAnsiTheme="minorEastAsia" w:cs="Tahoma" w:hint="eastAsia"/>
          <w:b/>
          <w:bCs/>
          <w:kern w:val="0"/>
          <w:sz w:val="28"/>
          <w:szCs w:val="24"/>
        </w:rPr>
        <w:t>五</w:t>
      </w:r>
      <w:r w:rsidR="003C56FA" w:rsidRPr="001A18E5">
        <w:rPr>
          <w:rFonts w:asciiTheme="minorEastAsia" w:hAnsiTheme="minorEastAsia" w:cs="Tahoma"/>
          <w:b/>
          <w:bCs/>
          <w:kern w:val="0"/>
          <w:sz w:val="28"/>
          <w:szCs w:val="24"/>
        </w:rPr>
        <w:t>章 管理责任</w:t>
      </w:r>
    </w:p>
    <w:p w:rsidR="003C56FA" w:rsidRPr="003C56FA" w:rsidRDefault="003C56FA" w:rsidP="00A04C8F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对手续不完备的投资项目或资产处置，由最终审批人员负主要责任。</w:t>
      </w:r>
    </w:p>
    <w:p w:rsidR="003C56FA" w:rsidRPr="003C56FA" w:rsidRDefault="003C56FA" w:rsidP="00A04C8F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 发生以下行为，对有关责任人员视情节轻重给与警告、或辞退：</w:t>
      </w:r>
    </w:p>
    <w:p w:rsidR="003C56FA" w:rsidRPr="00ED1A15" w:rsidRDefault="003C56FA" w:rsidP="00A04C8F">
      <w:pPr>
        <w:pStyle w:val="a7"/>
        <w:widowControl/>
        <w:numPr>
          <w:ilvl w:val="0"/>
          <w:numId w:val="12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ED1A15">
        <w:rPr>
          <w:rFonts w:asciiTheme="minorEastAsia" w:hAnsiTheme="minorEastAsia" w:cs="Tahoma"/>
          <w:kern w:val="0"/>
          <w:sz w:val="24"/>
          <w:szCs w:val="24"/>
        </w:rPr>
        <w:t xml:space="preserve">未经规定程序审批，擅自投资或处置资产； </w:t>
      </w:r>
    </w:p>
    <w:p w:rsidR="003C56FA" w:rsidRPr="003C56FA" w:rsidRDefault="003C56FA" w:rsidP="00A04C8F">
      <w:pPr>
        <w:pStyle w:val="a7"/>
        <w:widowControl/>
        <w:numPr>
          <w:ilvl w:val="0"/>
          <w:numId w:val="12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以</w:t>
      </w:r>
      <w:r w:rsidR="000B644B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Pr="003C56FA">
        <w:rPr>
          <w:rFonts w:asciiTheme="minorEastAsia" w:hAnsiTheme="minorEastAsia" w:cs="Tahoma"/>
          <w:kern w:val="0"/>
          <w:sz w:val="24"/>
          <w:szCs w:val="24"/>
        </w:rPr>
        <w:t>资产为自己或他人谋取私利。</w:t>
      </w:r>
    </w:p>
    <w:p w:rsidR="003C56FA" w:rsidRPr="003C56FA" w:rsidRDefault="003C56FA" w:rsidP="00A04C8F">
      <w:pPr>
        <w:pStyle w:val="a7"/>
        <w:widowControl/>
        <w:numPr>
          <w:ilvl w:val="0"/>
          <w:numId w:val="12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玩忽职守。</w:t>
      </w:r>
    </w:p>
    <w:p w:rsidR="003C56FA" w:rsidRDefault="003C56FA" w:rsidP="00A04C8F">
      <w:pPr>
        <w:pStyle w:val="a7"/>
        <w:widowControl/>
        <w:numPr>
          <w:ilvl w:val="0"/>
          <w:numId w:val="12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其他可能造成资产损失的行为。</w:t>
      </w:r>
    </w:p>
    <w:p w:rsidR="00ED1A15" w:rsidRDefault="00ED1A15" w:rsidP="00A04C8F">
      <w:pPr>
        <w:pStyle w:val="a7"/>
        <w:widowControl/>
        <w:numPr>
          <w:ilvl w:val="0"/>
          <w:numId w:val="12"/>
        </w:numPr>
        <w:shd w:val="clear" w:color="auto" w:fill="FFFFFF"/>
        <w:adjustRightInd w:val="0"/>
        <w:spacing w:line="360" w:lineRule="auto"/>
        <w:ind w:left="567" w:rightChars="21" w:right="44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ED1A15">
        <w:rPr>
          <w:rFonts w:asciiTheme="minorEastAsia" w:hAnsiTheme="minorEastAsia" w:cs="Tahoma"/>
          <w:kern w:val="0"/>
          <w:sz w:val="24"/>
          <w:szCs w:val="24"/>
        </w:rPr>
        <w:t>其</w:t>
      </w:r>
      <w:r w:rsidRPr="00ED1A15">
        <w:rPr>
          <w:rFonts w:asciiTheme="minorEastAsia" w:hAnsiTheme="minorEastAsia" w:cs="Tahoma" w:hint="eastAsia"/>
          <w:kern w:val="0"/>
          <w:sz w:val="24"/>
          <w:szCs w:val="24"/>
        </w:rPr>
        <w:t>它</w:t>
      </w:r>
      <w:r w:rsidR="000B644B">
        <w:rPr>
          <w:rFonts w:asciiTheme="minorEastAsia" w:hAnsiTheme="minorEastAsia" w:cs="Tahoma"/>
          <w:kern w:val="0"/>
          <w:sz w:val="24"/>
          <w:szCs w:val="24"/>
        </w:rPr>
        <w:t>可能损害</w:t>
      </w:r>
      <w:r w:rsidR="000B644B">
        <w:rPr>
          <w:rFonts w:asciiTheme="minorEastAsia" w:hAnsiTheme="minorEastAsia" w:cs="Tahoma" w:hint="eastAsia"/>
          <w:kern w:val="0"/>
          <w:sz w:val="24"/>
          <w:szCs w:val="24"/>
        </w:rPr>
        <w:t>机构的行为。</w:t>
      </w:r>
    </w:p>
    <w:p w:rsidR="003C56FA" w:rsidRPr="003C56FA" w:rsidRDefault="003C56FA" w:rsidP="00A04C8F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C56FA">
        <w:rPr>
          <w:rFonts w:asciiTheme="minorEastAsia" w:hAnsiTheme="minorEastAsia" w:cs="Tahoma"/>
          <w:kern w:val="0"/>
          <w:sz w:val="24"/>
          <w:szCs w:val="24"/>
        </w:rPr>
        <w:t> 由于国家法律、政策发生重大变化或出现自然灾害等不可抗力原因造成资产损失的，不追究管理人员的责任。</w:t>
      </w:r>
    </w:p>
    <w:p w:rsidR="003C56FA" w:rsidRPr="001A18E5" w:rsidRDefault="00ED1A15" w:rsidP="00A04C8F">
      <w:pPr>
        <w:widowControl/>
        <w:shd w:val="clear" w:color="auto" w:fill="FFFFFF"/>
        <w:adjustRightInd w:val="0"/>
        <w:spacing w:line="360" w:lineRule="auto"/>
        <w:ind w:rightChars="21" w:right="44"/>
        <w:jc w:val="center"/>
        <w:rPr>
          <w:rFonts w:asciiTheme="minorEastAsia" w:hAnsiTheme="minorEastAsia" w:cs="Tahoma"/>
          <w:b/>
          <w:bCs/>
          <w:kern w:val="0"/>
          <w:sz w:val="28"/>
          <w:szCs w:val="24"/>
        </w:rPr>
      </w:pPr>
      <w:r w:rsidRPr="001A18E5">
        <w:rPr>
          <w:rFonts w:asciiTheme="minorEastAsia" w:hAnsiTheme="minorEastAsia" w:cs="Tahoma"/>
          <w:b/>
          <w:bCs/>
          <w:kern w:val="0"/>
          <w:sz w:val="28"/>
          <w:szCs w:val="24"/>
        </w:rPr>
        <w:t>第</w:t>
      </w:r>
      <w:r w:rsidRPr="001A18E5">
        <w:rPr>
          <w:rFonts w:asciiTheme="minorEastAsia" w:hAnsiTheme="minorEastAsia" w:cs="Tahoma" w:hint="eastAsia"/>
          <w:b/>
          <w:bCs/>
          <w:kern w:val="0"/>
          <w:sz w:val="28"/>
          <w:szCs w:val="24"/>
        </w:rPr>
        <w:t>六</w:t>
      </w:r>
      <w:r w:rsidR="003C56FA" w:rsidRPr="001A18E5">
        <w:rPr>
          <w:rFonts w:asciiTheme="minorEastAsia" w:hAnsiTheme="minorEastAsia" w:cs="Tahoma"/>
          <w:b/>
          <w:bCs/>
          <w:kern w:val="0"/>
          <w:sz w:val="28"/>
          <w:szCs w:val="24"/>
        </w:rPr>
        <w:t>章 附则</w:t>
      </w:r>
    </w:p>
    <w:p w:rsidR="003C56FA" w:rsidRPr="008D3036" w:rsidRDefault="008D3036" w:rsidP="008D3036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djustRightInd w:val="0"/>
        <w:spacing w:line="360" w:lineRule="auto"/>
        <w:ind w:left="0" w:rightChars="21" w:right="44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/>
          <w:kern w:val="0"/>
          <w:sz w:val="24"/>
          <w:szCs w:val="24"/>
        </w:rPr>
        <w:t>本制度由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ED1A15">
        <w:rPr>
          <w:rFonts w:asciiTheme="minorEastAsia" w:hAnsiTheme="minorEastAsia" w:cs="Tahoma" w:hint="eastAsia"/>
          <w:kern w:val="0"/>
          <w:sz w:val="24"/>
          <w:szCs w:val="24"/>
        </w:rPr>
        <w:t>综合办负责编制，经理事会批准后实施。</w:t>
      </w:r>
    </w:p>
    <w:sectPr w:rsidR="003C56FA" w:rsidRPr="008D3036" w:rsidSect="00A04C8F">
      <w:footerReference w:type="default" r:id="rId7"/>
      <w:pgSz w:w="11906" w:h="16838"/>
      <w:pgMar w:top="1440" w:right="1274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7D" w:rsidRDefault="00C60B7D" w:rsidP="003C56FA">
      <w:r>
        <w:separator/>
      </w:r>
    </w:p>
  </w:endnote>
  <w:endnote w:type="continuationSeparator" w:id="0">
    <w:p w:rsidR="00C60B7D" w:rsidRDefault="00C60B7D" w:rsidP="003C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382"/>
      <w:docPartObj>
        <w:docPartGallery w:val="Page Numbers (Bottom of Page)"/>
        <w:docPartUnique/>
      </w:docPartObj>
    </w:sdtPr>
    <w:sdtContent>
      <w:p w:rsidR="003C56FA" w:rsidRDefault="00FD7CC8">
        <w:pPr>
          <w:pStyle w:val="a6"/>
          <w:jc w:val="center"/>
        </w:pPr>
        <w:fldSimple w:instr=" PAGE   \* MERGEFORMAT ">
          <w:r w:rsidR="00A72791" w:rsidRPr="00A72791">
            <w:rPr>
              <w:noProof/>
              <w:lang w:val="zh-CN"/>
            </w:rPr>
            <w:t>3</w:t>
          </w:r>
        </w:fldSimple>
      </w:p>
    </w:sdtContent>
  </w:sdt>
  <w:p w:rsidR="003C56FA" w:rsidRDefault="003C56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7D" w:rsidRDefault="00C60B7D" w:rsidP="003C56FA">
      <w:r>
        <w:separator/>
      </w:r>
    </w:p>
  </w:footnote>
  <w:footnote w:type="continuationSeparator" w:id="0">
    <w:p w:rsidR="00C60B7D" w:rsidRDefault="00C60B7D" w:rsidP="003C5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08F"/>
    <w:multiLevelType w:val="hybridMultilevel"/>
    <w:tmpl w:val="F21CAD08"/>
    <w:lvl w:ilvl="0" w:tplc="93C0CD3A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733430"/>
    <w:multiLevelType w:val="hybridMultilevel"/>
    <w:tmpl w:val="1A1ADD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2D0E52"/>
    <w:multiLevelType w:val="hybridMultilevel"/>
    <w:tmpl w:val="E4C2A82C"/>
    <w:lvl w:ilvl="0" w:tplc="0CA67658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1810D4"/>
    <w:multiLevelType w:val="hybridMultilevel"/>
    <w:tmpl w:val="4426EDC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DA3B52"/>
    <w:multiLevelType w:val="hybridMultilevel"/>
    <w:tmpl w:val="05061EC0"/>
    <w:lvl w:ilvl="0" w:tplc="6928B158">
      <w:start w:val="1"/>
      <w:numFmt w:val="japaneseCounting"/>
      <w:lvlText w:val="第%1条"/>
      <w:lvlJc w:val="left"/>
      <w:pPr>
        <w:ind w:left="178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5">
    <w:nsid w:val="2E703AE5"/>
    <w:multiLevelType w:val="hybridMultilevel"/>
    <w:tmpl w:val="E8862158"/>
    <w:lvl w:ilvl="0" w:tplc="CAFA6B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3716EB"/>
    <w:multiLevelType w:val="hybridMultilevel"/>
    <w:tmpl w:val="4426EDC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E148E3"/>
    <w:multiLevelType w:val="hybridMultilevel"/>
    <w:tmpl w:val="CC5A349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3169E0"/>
    <w:multiLevelType w:val="hybridMultilevel"/>
    <w:tmpl w:val="15B63FB2"/>
    <w:lvl w:ilvl="0" w:tplc="57E8D02C">
      <w:start w:val="1"/>
      <w:numFmt w:val="decimal"/>
      <w:lvlText w:val="1、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F23F80"/>
    <w:multiLevelType w:val="hybridMultilevel"/>
    <w:tmpl w:val="E9AAAE98"/>
    <w:lvl w:ilvl="0" w:tplc="218082C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C24369"/>
    <w:multiLevelType w:val="hybridMultilevel"/>
    <w:tmpl w:val="A39E8D74"/>
    <w:lvl w:ilvl="0" w:tplc="6D52859A">
      <w:start w:val="1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097D77"/>
    <w:multiLevelType w:val="hybridMultilevel"/>
    <w:tmpl w:val="4426EDC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A776E0F"/>
    <w:multiLevelType w:val="hybridMultilevel"/>
    <w:tmpl w:val="4426EDC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6FA"/>
    <w:rsid w:val="00050132"/>
    <w:rsid w:val="0007616E"/>
    <w:rsid w:val="000B644B"/>
    <w:rsid w:val="000C3600"/>
    <w:rsid w:val="00107070"/>
    <w:rsid w:val="001A18E5"/>
    <w:rsid w:val="00314118"/>
    <w:rsid w:val="00317CB4"/>
    <w:rsid w:val="0038205C"/>
    <w:rsid w:val="003C56FA"/>
    <w:rsid w:val="00512CE6"/>
    <w:rsid w:val="00541647"/>
    <w:rsid w:val="00622224"/>
    <w:rsid w:val="00782583"/>
    <w:rsid w:val="007B194C"/>
    <w:rsid w:val="008371C6"/>
    <w:rsid w:val="00847F05"/>
    <w:rsid w:val="008A73EB"/>
    <w:rsid w:val="008D3036"/>
    <w:rsid w:val="00904E06"/>
    <w:rsid w:val="0098348A"/>
    <w:rsid w:val="00A04C8F"/>
    <w:rsid w:val="00A27036"/>
    <w:rsid w:val="00A52768"/>
    <w:rsid w:val="00A54BB6"/>
    <w:rsid w:val="00A72791"/>
    <w:rsid w:val="00B2558F"/>
    <w:rsid w:val="00B40ED1"/>
    <w:rsid w:val="00B57D39"/>
    <w:rsid w:val="00B67891"/>
    <w:rsid w:val="00BE594B"/>
    <w:rsid w:val="00C07BF3"/>
    <w:rsid w:val="00C13069"/>
    <w:rsid w:val="00C2731E"/>
    <w:rsid w:val="00C60B7D"/>
    <w:rsid w:val="00D06CDA"/>
    <w:rsid w:val="00D122EB"/>
    <w:rsid w:val="00DD55CB"/>
    <w:rsid w:val="00DF70C4"/>
    <w:rsid w:val="00E11FC8"/>
    <w:rsid w:val="00E35904"/>
    <w:rsid w:val="00E6548B"/>
    <w:rsid w:val="00ED1A15"/>
    <w:rsid w:val="00F731C8"/>
    <w:rsid w:val="00F963E3"/>
    <w:rsid w:val="00FC6313"/>
    <w:rsid w:val="00FD7CC8"/>
    <w:rsid w:val="00FE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6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56F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C5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C56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5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56FA"/>
    <w:rPr>
      <w:sz w:val="18"/>
      <w:szCs w:val="18"/>
    </w:rPr>
  </w:style>
  <w:style w:type="paragraph" w:styleId="a7">
    <w:name w:val="List Paragraph"/>
    <w:basedOn w:val="a"/>
    <w:uiPriority w:val="34"/>
    <w:qFormat/>
    <w:rsid w:val="00D122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7" w:color="009900"/>
                <w:right w:val="none" w:sz="0" w:space="0" w:color="auto"/>
              </w:divBdr>
              <w:divsChild>
                <w:div w:id="11231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440">
                      <w:marLeft w:val="864"/>
                      <w:marRight w:val="0"/>
                      <w:marTop w:val="0"/>
                      <w:marBottom w:val="0"/>
                      <w:divBdr>
                        <w:top w:val="single" w:sz="12" w:space="0" w:color="DADADA"/>
                        <w:left w:val="single" w:sz="12" w:space="0" w:color="DADADA"/>
                        <w:bottom w:val="none" w:sz="0" w:space="0" w:color="auto"/>
                        <w:right w:val="single" w:sz="12" w:space="0" w:color="DADADA"/>
                      </w:divBdr>
                      <w:divsChild>
                        <w:div w:id="152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6962">
                              <w:marLeft w:val="0"/>
                              <w:marRight w:val="0"/>
                              <w:marTop w:val="288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872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1021">
                                  <w:marLeft w:val="0"/>
                                  <w:marRight w:val="0"/>
                                  <w:marTop w:val="288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hanfuer</dc:creator>
  <cp:lastModifiedBy>Microsoft</cp:lastModifiedBy>
  <cp:revision>33</cp:revision>
  <dcterms:created xsi:type="dcterms:W3CDTF">2016-06-01T02:36:00Z</dcterms:created>
  <dcterms:modified xsi:type="dcterms:W3CDTF">2018-03-26T06:15:00Z</dcterms:modified>
</cp:coreProperties>
</file>